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C95B" w14:textId="77777777" w:rsidR="006D32DE" w:rsidRDefault="006D32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BB64AE" w14:textId="77777777" w:rsidR="006D32DE" w:rsidRDefault="006D32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1218A9" w14:textId="77777777" w:rsidR="006D32DE" w:rsidRDefault="006D32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490719" w14:textId="77777777" w:rsidR="006D32DE" w:rsidRDefault="006D32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A24603" w14:textId="77777777" w:rsidR="006D32DE" w:rsidRDefault="00000000">
      <w:pPr>
        <w:spacing w:before="157"/>
        <w:ind w:left="3269"/>
        <w:rPr>
          <w:sz w:val="52"/>
          <w:szCs w:val="52"/>
        </w:rPr>
      </w:pPr>
      <w:r>
        <w:rPr>
          <w:sz w:val="52"/>
          <w:szCs w:val="52"/>
        </w:rPr>
        <w:t>RISK ASSESSMENT FORM</w:t>
      </w:r>
    </w:p>
    <w:p w14:paraId="6E64CBB6" w14:textId="77777777" w:rsidR="006D32DE" w:rsidRDefault="006D32DE">
      <w:pPr>
        <w:spacing w:before="12"/>
        <w:rPr>
          <w:sz w:val="21"/>
          <w:szCs w:val="21"/>
        </w:rPr>
      </w:pPr>
    </w:p>
    <w:tbl>
      <w:tblPr>
        <w:tblStyle w:val="a1"/>
        <w:tblW w:w="10270" w:type="dxa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312"/>
        <w:gridCol w:w="2309"/>
        <w:gridCol w:w="2312"/>
      </w:tblGrid>
      <w:tr w:rsidR="006D32DE" w14:paraId="65C0B687" w14:textId="77777777">
        <w:trPr>
          <w:trHeight w:val="505"/>
        </w:trPr>
        <w:tc>
          <w:tcPr>
            <w:tcW w:w="3337" w:type="dxa"/>
          </w:tcPr>
          <w:p w14:paraId="2BE7F12A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Company Name:</w:t>
            </w:r>
          </w:p>
        </w:tc>
        <w:tc>
          <w:tcPr>
            <w:tcW w:w="2312" w:type="dxa"/>
          </w:tcPr>
          <w:p w14:paraId="7C1BAF65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O’Donnell Moonshine</w:t>
            </w:r>
          </w:p>
        </w:tc>
        <w:tc>
          <w:tcPr>
            <w:tcW w:w="2309" w:type="dxa"/>
          </w:tcPr>
          <w:p w14:paraId="4D24BF6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Emergency Contact:</w:t>
            </w:r>
          </w:p>
        </w:tc>
        <w:tc>
          <w:tcPr>
            <w:tcW w:w="2312" w:type="dxa"/>
          </w:tcPr>
          <w:p w14:paraId="15CFF397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Matthew Webster</w:t>
            </w:r>
          </w:p>
        </w:tc>
      </w:tr>
      <w:tr w:rsidR="006D32DE" w14:paraId="54850DE2" w14:textId="77777777">
        <w:trPr>
          <w:trHeight w:val="520"/>
        </w:trPr>
        <w:tc>
          <w:tcPr>
            <w:tcW w:w="3337" w:type="dxa"/>
          </w:tcPr>
          <w:p w14:paraId="2D274E9B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Site:</w:t>
            </w:r>
          </w:p>
        </w:tc>
        <w:tc>
          <w:tcPr>
            <w:tcW w:w="2312" w:type="dxa"/>
          </w:tcPr>
          <w:p w14:paraId="57FF69EC" w14:textId="77177C28" w:rsidR="006D32DE" w:rsidRPr="00E77424" w:rsidRDefault="00E16514" w:rsidP="009E0C8B">
            <w:pPr>
              <w:rPr>
                <w:rFonts w:asciiTheme="minorHAnsi" w:hAnsiTheme="minorHAnsi" w:cstheme="minorHAnsi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Malton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Town Centre,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North Yorkshire, YO17 7LX</w:t>
            </w:r>
          </w:p>
        </w:tc>
        <w:tc>
          <w:tcPr>
            <w:tcW w:w="2309" w:type="dxa"/>
          </w:tcPr>
          <w:p w14:paraId="7C8F65DC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Emergency Contact Phone:</w:t>
            </w:r>
          </w:p>
        </w:tc>
        <w:tc>
          <w:tcPr>
            <w:tcW w:w="2312" w:type="dxa"/>
          </w:tcPr>
          <w:p w14:paraId="2443B50A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07903169877</w:t>
            </w:r>
          </w:p>
        </w:tc>
      </w:tr>
      <w:tr w:rsidR="006D32DE" w14:paraId="7993D41C" w14:textId="77777777">
        <w:trPr>
          <w:trHeight w:val="190"/>
        </w:trPr>
        <w:tc>
          <w:tcPr>
            <w:tcW w:w="3337" w:type="dxa"/>
          </w:tcPr>
          <w:p w14:paraId="0F727B5C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Event:</w:t>
            </w:r>
          </w:p>
        </w:tc>
        <w:tc>
          <w:tcPr>
            <w:tcW w:w="2312" w:type="dxa"/>
          </w:tcPr>
          <w:p w14:paraId="4D1BA5E6" w14:textId="7000C1CB" w:rsidR="006D32DE" w:rsidRPr="00C90021" w:rsidRDefault="00E1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302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Malton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Food Lovers Festival – Spring 2025</w:t>
            </w:r>
          </w:p>
        </w:tc>
        <w:tc>
          <w:tcPr>
            <w:tcW w:w="2309" w:type="dxa"/>
          </w:tcPr>
          <w:p w14:paraId="38B8447E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Date from/until:</w:t>
            </w:r>
          </w:p>
        </w:tc>
        <w:tc>
          <w:tcPr>
            <w:tcW w:w="2312" w:type="dxa"/>
          </w:tcPr>
          <w:p w14:paraId="10286ABF" w14:textId="49F79375" w:rsidR="006D32DE" w:rsidRDefault="00E16514">
            <w:r>
              <w:t>24</w:t>
            </w:r>
            <w:r w:rsidR="00C51065">
              <w:t>/</w:t>
            </w:r>
            <w:r w:rsidR="00E77424">
              <w:t>0</w:t>
            </w:r>
            <w:r>
              <w:t>5</w:t>
            </w:r>
            <w:r w:rsidR="001A7799">
              <w:t>/202</w:t>
            </w:r>
            <w:r w:rsidR="00E77424">
              <w:t>5</w:t>
            </w:r>
            <w:r w:rsidR="001A7799">
              <w:t xml:space="preserve"> to </w:t>
            </w:r>
            <w:r>
              <w:t>26</w:t>
            </w:r>
            <w:r w:rsidR="00C51065">
              <w:t>/</w:t>
            </w:r>
            <w:r w:rsidR="00E77424">
              <w:t>0</w:t>
            </w:r>
            <w:r>
              <w:t>5</w:t>
            </w:r>
            <w:r w:rsidR="001A7799">
              <w:t>/202</w:t>
            </w:r>
            <w:r w:rsidR="00E77424">
              <w:t>5</w:t>
            </w:r>
          </w:p>
        </w:tc>
      </w:tr>
    </w:tbl>
    <w:p w14:paraId="373D3540" w14:textId="77777777" w:rsidR="006D32DE" w:rsidRDefault="006D32DE">
      <w:pPr>
        <w:rPr>
          <w:sz w:val="20"/>
          <w:szCs w:val="20"/>
        </w:rPr>
      </w:pPr>
    </w:p>
    <w:p w14:paraId="4230B47D" w14:textId="77777777" w:rsidR="006D32DE" w:rsidRDefault="006D32DE">
      <w:pPr>
        <w:spacing w:before="8"/>
        <w:rPr>
          <w:sz w:val="21"/>
          <w:szCs w:val="21"/>
        </w:rPr>
      </w:pPr>
    </w:p>
    <w:tbl>
      <w:tblPr>
        <w:tblStyle w:val="a2"/>
        <w:tblW w:w="11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6806"/>
        <w:gridCol w:w="1707"/>
      </w:tblGrid>
      <w:tr w:rsidR="006D32DE" w14:paraId="0767F844" w14:textId="77777777">
        <w:trPr>
          <w:trHeight w:val="620"/>
        </w:trPr>
        <w:tc>
          <w:tcPr>
            <w:tcW w:w="2837" w:type="dxa"/>
          </w:tcPr>
          <w:p w14:paraId="6188E9E3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6"/>
                <w:szCs w:val="16"/>
              </w:rPr>
            </w:pPr>
          </w:p>
          <w:p w14:paraId="5C81986F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6" w:lineRule="auto"/>
              <w:ind w:left="211" w:right="70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Hazards involved with activit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6806" w:type="dxa"/>
          </w:tcPr>
          <w:p w14:paraId="72C1B48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Safety measures you will put in place to reduce the risk of</w:t>
            </w:r>
          </w:p>
          <w:p w14:paraId="0C37E04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Accidents</w:t>
            </w:r>
          </w:p>
        </w:tc>
        <w:tc>
          <w:tcPr>
            <w:tcW w:w="1707" w:type="dxa"/>
          </w:tcPr>
          <w:p w14:paraId="56A41561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Rating band</w:t>
            </w:r>
          </w:p>
          <w:p w14:paraId="6FD5014D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Severity of Risk</w:t>
            </w:r>
          </w:p>
          <w:p w14:paraId="599FE9B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1  2</w:t>
            </w:r>
            <w:proofErr w:type="gram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3  4</w:t>
            </w:r>
            <w:proofErr w:type="gram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5</w:t>
            </w:r>
          </w:p>
          <w:p w14:paraId="66D636B2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 Low Severity</w:t>
            </w:r>
          </w:p>
          <w:p w14:paraId="42FD385C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5 High Severity</w:t>
            </w:r>
          </w:p>
        </w:tc>
      </w:tr>
      <w:tr w:rsidR="006D32DE" w14:paraId="7E83B9D9" w14:textId="77777777">
        <w:trPr>
          <w:trHeight w:val="860"/>
        </w:trPr>
        <w:tc>
          <w:tcPr>
            <w:tcW w:w="2837" w:type="dxa"/>
          </w:tcPr>
          <w:p w14:paraId="3AAC102F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6"/>
                <w:szCs w:val="16"/>
              </w:rPr>
            </w:pPr>
          </w:p>
          <w:p w14:paraId="75F5BFDA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107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Setting up and dismantling stalls.</w:t>
            </w:r>
          </w:p>
        </w:tc>
        <w:tc>
          <w:tcPr>
            <w:tcW w:w="6806" w:type="dxa"/>
          </w:tcPr>
          <w:p w14:paraId="6FCDF3CC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Ensure all poles, stall sections, tables and crates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are placed in a tidy</w:t>
            </w:r>
          </w:p>
          <w:p w14:paraId="4B0EBEA3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manner and do not create trip hazards to persons walking past. Take particular care in the winter when both activities could take place before sunrise/after dark and in icy</w:t>
            </w:r>
          </w:p>
          <w:p w14:paraId="0FB451DA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conditions.</w:t>
            </w:r>
          </w:p>
        </w:tc>
        <w:tc>
          <w:tcPr>
            <w:tcW w:w="1707" w:type="dxa"/>
          </w:tcPr>
          <w:p w14:paraId="13B4DB7C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onsolas" w:hAnsi="Consolas" w:cs="Consolas"/>
                <w:sz w:val="18"/>
                <w:szCs w:val="18"/>
              </w:rPr>
            </w:pPr>
          </w:p>
          <w:p w14:paraId="1C54DBDF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color w:val="000000"/>
                <w:sz w:val="18"/>
                <w:szCs w:val="18"/>
              </w:rPr>
              <w:t>3</w:t>
            </w:r>
          </w:p>
        </w:tc>
      </w:tr>
      <w:tr w:rsidR="006D32DE" w14:paraId="1C963A4F" w14:textId="77777777">
        <w:trPr>
          <w:trHeight w:val="820"/>
        </w:trPr>
        <w:tc>
          <w:tcPr>
            <w:tcW w:w="2837" w:type="dxa"/>
          </w:tcPr>
          <w:p w14:paraId="1E7DB0BF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6"/>
                <w:szCs w:val="16"/>
              </w:rPr>
            </w:pPr>
          </w:p>
          <w:p w14:paraId="56F24D0D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2"/>
              </w:tabs>
              <w:spacing w:line="204" w:lineRule="auto"/>
              <w:ind w:left="18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Vehicle Movement during set-up 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 Down.</w:t>
            </w:r>
          </w:p>
        </w:tc>
        <w:tc>
          <w:tcPr>
            <w:tcW w:w="6806" w:type="dxa"/>
          </w:tcPr>
          <w:p w14:paraId="2882D85F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67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especially vigilant for pedestrians, use a banks man if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Take particular care in the winter when both activities could take place before sunrise/after dark and in icy conditions</w:t>
            </w:r>
          </w:p>
        </w:tc>
        <w:tc>
          <w:tcPr>
            <w:tcW w:w="1707" w:type="dxa"/>
          </w:tcPr>
          <w:p w14:paraId="3EB37686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onsolas" w:hAnsi="Consolas" w:cs="Consolas"/>
                <w:sz w:val="18"/>
                <w:szCs w:val="18"/>
              </w:rPr>
            </w:pPr>
          </w:p>
          <w:p w14:paraId="05D6CD7F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color w:val="000000"/>
                <w:sz w:val="18"/>
                <w:szCs w:val="18"/>
              </w:rPr>
              <w:t>3</w:t>
            </w:r>
          </w:p>
        </w:tc>
      </w:tr>
      <w:tr w:rsidR="006D32DE" w14:paraId="1FA2460B" w14:textId="77777777">
        <w:trPr>
          <w:trHeight w:val="856"/>
        </w:trPr>
        <w:tc>
          <w:tcPr>
            <w:tcW w:w="2837" w:type="dxa"/>
          </w:tcPr>
          <w:p w14:paraId="4A47B2E1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6"/>
                <w:szCs w:val="16"/>
              </w:rPr>
            </w:pPr>
          </w:p>
          <w:p w14:paraId="3BA634D6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136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Slips/falls/trip hazards.</w:t>
            </w:r>
          </w:p>
        </w:tc>
        <w:tc>
          <w:tcPr>
            <w:tcW w:w="6806" w:type="dxa"/>
          </w:tcPr>
          <w:p w14:paraId="7245BA13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Regularly ensure floor area and walkways are clear of debris from the stall</w:t>
            </w:r>
          </w:p>
          <w:p w14:paraId="78005DEA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e.g. produce or bags. Remove all rubbish from around the site Remove any potential slip or trip hazards; ensure any trip hazards that cannot be</w:t>
            </w:r>
          </w:p>
          <w:p w14:paraId="411FD351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9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moved are clearly marked with hazard tape</w:t>
            </w:r>
          </w:p>
        </w:tc>
        <w:tc>
          <w:tcPr>
            <w:tcW w:w="1707" w:type="dxa"/>
          </w:tcPr>
          <w:p w14:paraId="7CFAA742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onsolas" w:hAnsi="Consolas" w:cs="Consolas"/>
                <w:sz w:val="18"/>
                <w:szCs w:val="18"/>
              </w:rPr>
            </w:pPr>
          </w:p>
          <w:p w14:paraId="36EF9134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color w:val="000000"/>
                <w:sz w:val="18"/>
                <w:szCs w:val="18"/>
              </w:rPr>
              <w:t>2</w:t>
            </w:r>
          </w:p>
        </w:tc>
      </w:tr>
      <w:tr w:rsidR="006D32DE" w14:paraId="7E7CEA91" w14:textId="77777777">
        <w:trPr>
          <w:trHeight w:val="620"/>
        </w:trPr>
        <w:tc>
          <w:tcPr>
            <w:tcW w:w="2837" w:type="dxa"/>
          </w:tcPr>
          <w:p w14:paraId="2F65D8C8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16"/>
                <w:szCs w:val="16"/>
              </w:rPr>
            </w:pPr>
          </w:p>
          <w:p w14:paraId="713A40C0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11" w:right="77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Trip Hazard Promotional Banners.</w:t>
            </w:r>
          </w:p>
          <w:p w14:paraId="62D30C9E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11" w:right="77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</w:tcPr>
          <w:p w14:paraId="559807CD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Ensure Banners are placed so as not to cause trip hazards, to be weighted</w:t>
            </w:r>
          </w:p>
          <w:p w14:paraId="44702DB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 where necessary to avoid falling over.</w:t>
            </w:r>
          </w:p>
        </w:tc>
        <w:tc>
          <w:tcPr>
            <w:tcW w:w="1707" w:type="dxa"/>
          </w:tcPr>
          <w:p w14:paraId="1E96DB6A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6C36BE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D32DE" w14:paraId="5D5BD0DA" w14:textId="77777777">
        <w:trPr>
          <w:trHeight w:val="420"/>
        </w:trPr>
        <w:tc>
          <w:tcPr>
            <w:tcW w:w="2837" w:type="dxa"/>
          </w:tcPr>
          <w:p w14:paraId="193FAAD3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  <w:p w14:paraId="3A8914BA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9"/>
              </w:tabs>
              <w:spacing w:line="199" w:lineRule="auto"/>
              <w:ind w:left="2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Vehicles</w:t>
            </w:r>
          </w:p>
          <w:p w14:paraId="37ED06A0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9"/>
              </w:tabs>
              <w:spacing w:line="199" w:lineRule="auto"/>
              <w:ind w:left="2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</w:tcPr>
          <w:p w14:paraId="1B2406E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Remove all vehicles </w:t>
            </w:r>
            <w:r>
              <w:rPr>
                <w:rFonts w:ascii="Arial" w:eastAsia="Arial" w:hAnsi="Arial" w:cs="Arial"/>
                <w:sz w:val="18"/>
                <w:szCs w:val="18"/>
              </w:rPr>
              <w:t>from the area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during trading.</w:t>
            </w:r>
          </w:p>
          <w:p w14:paraId="5029E9DE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3"/>
              <w:rPr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2FDBF97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ABEACF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D32DE" w14:paraId="795400DB" w14:textId="77777777">
        <w:trPr>
          <w:trHeight w:val="451"/>
        </w:trPr>
        <w:tc>
          <w:tcPr>
            <w:tcW w:w="2837" w:type="dxa"/>
          </w:tcPr>
          <w:p w14:paraId="26682A3E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6"/>
                <w:szCs w:val="16"/>
              </w:rPr>
            </w:pPr>
          </w:p>
          <w:p w14:paraId="0529475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6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First Aid</w:t>
            </w:r>
          </w:p>
        </w:tc>
        <w:tc>
          <w:tcPr>
            <w:tcW w:w="6806" w:type="dxa"/>
          </w:tcPr>
          <w:p w14:paraId="1BA2C500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Make sure you have provided First Aid Equipment and that it is up to</w:t>
            </w:r>
          </w:p>
          <w:p w14:paraId="4E6C562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date, a mobile phone must be carried to call the emergency services.</w:t>
            </w:r>
          </w:p>
        </w:tc>
        <w:tc>
          <w:tcPr>
            <w:tcW w:w="1707" w:type="dxa"/>
          </w:tcPr>
          <w:p w14:paraId="2D322F79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D32DE" w14:paraId="2B66DB45" w14:textId="77777777">
        <w:trPr>
          <w:trHeight w:val="420"/>
        </w:trPr>
        <w:tc>
          <w:tcPr>
            <w:tcW w:w="2837" w:type="dxa"/>
          </w:tcPr>
          <w:p w14:paraId="26B1D1D6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6"/>
                <w:szCs w:val="16"/>
              </w:rPr>
            </w:pPr>
          </w:p>
          <w:p w14:paraId="0ECBD763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9"/>
              </w:tabs>
              <w:spacing w:line="201" w:lineRule="auto"/>
              <w:ind w:left="2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Re-Stocking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06" w:type="dxa"/>
          </w:tcPr>
          <w:p w14:paraId="3D129FDF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Ensure restocking is done outside of trading hours whenever possible. If this isn’t possible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stock is well tied to trolley, looking out for members of the public and not using vehicles within the operational area</w:t>
            </w:r>
          </w:p>
        </w:tc>
        <w:tc>
          <w:tcPr>
            <w:tcW w:w="1707" w:type="dxa"/>
          </w:tcPr>
          <w:p w14:paraId="0E8BFC9D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D32DE" w14:paraId="1DA9C5E7" w14:textId="77777777">
        <w:trPr>
          <w:trHeight w:val="420"/>
        </w:trPr>
        <w:tc>
          <w:tcPr>
            <w:tcW w:w="2837" w:type="dxa"/>
          </w:tcPr>
          <w:p w14:paraId="23F69D71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6"/>
                <w:szCs w:val="16"/>
              </w:rPr>
            </w:pPr>
          </w:p>
          <w:p w14:paraId="4702B471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8"/>
              </w:tabs>
              <w:spacing w:line="201" w:lineRule="auto"/>
              <w:ind w:left="2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Power Tools (Ins * De-Ins)</w:t>
            </w:r>
          </w:p>
        </w:tc>
        <w:tc>
          <w:tcPr>
            <w:tcW w:w="6806" w:type="dxa"/>
          </w:tcPr>
          <w:p w14:paraId="4DD13C53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Ensure that staff is correctly trained in the use of power tools (Drill). </w:t>
            </w:r>
          </w:p>
          <w:p w14:paraId="6F041DDB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3"/>
              <w:rPr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BFA555F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D32DE" w14:paraId="12A7EA19" w14:textId="77777777">
        <w:trPr>
          <w:trHeight w:val="420"/>
        </w:trPr>
        <w:tc>
          <w:tcPr>
            <w:tcW w:w="2837" w:type="dxa"/>
          </w:tcPr>
          <w:p w14:paraId="1519DEBA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81"/>
              <w:rPr>
                <w:color w:val="000000"/>
                <w:sz w:val="16"/>
                <w:szCs w:val="16"/>
              </w:rPr>
            </w:pPr>
          </w:p>
          <w:p w14:paraId="1C8234B4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2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De-Installation</w:t>
            </w:r>
          </w:p>
          <w:p w14:paraId="4A2C9A88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</w:tcPr>
          <w:p w14:paraId="2C3135A4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En</w:t>
            </w:r>
            <w:r>
              <w:rPr>
                <w:color w:val="000000"/>
                <w:sz w:val="18"/>
                <w:szCs w:val="18"/>
              </w:rPr>
              <w:t xml:space="preserve">sure trading area is completely clear of all hazardous waste and debris. </w:t>
            </w:r>
          </w:p>
        </w:tc>
        <w:tc>
          <w:tcPr>
            <w:tcW w:w="1707" w:type="dxa"/>
          </w:tcPr>
          <w:p w14:paraId="76E38D12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D32DE" w14:paraId="1DBE1BFC" w14:textId="77777777">
        <w:trPr>
          <w:trHeight w:val="420"/>
        </w:trPr>
        <w:tc>
          <w:tcPr>
            <w:tcW w:w="2837" w:type="dxa"/>
          </w:tcPr>
          <w:p w14:paraId="4ECC6C9D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2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The sale of alcohol</w:t>
            </w:r>
          </w:p>
          <w:p w14:paraId="136FB155" w14:textId="77777777" w:rsidR="006D32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Challenge 25</w:t>
            </w:r>
          </w:p>
          <w:p w14:paraId="3EF2CBBE" w14:textId="77777777" w:rsidR="006D32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Proxy sales</w:t>
            </w:r>
          </w:p>
          <w:p w14:paraId="037F04E7" w14:textId="77777777" w:rsidR="006D32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Consumption off site</w:t>
            </w:r>
          </w:p>
          <w:p w14:paraId="3AEBD355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</w:tcPr>
          <w:p w14:paraId="04172D50" w14:textId="77777777" w:rsidR="006D32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Always ensure to ask for either a passport or driving license and check any </w:t>
            </w:r>
            <w:r>
              <w:rPr>
                <w:sz w:val="18"/>
                <w:szCs w:val="18"/>
              </w:rPr>
              <w:t>prospective</w:t>
            </w:r>
            <w:r>
              <w:rPr>
                <w:color w:val="000000"/>
                <w:sz w:val="18"/>
                <w:szCs w:val="18"/>
              </w:rPr>
              <w:t xml:space="preserve"> sampler or purchaser they are above the age of 18 if they look below the age of 25 </w:t>
            </w:r>
            <w:r>
              <w:rPr>
                <w:b/>
                <w:color w:val="000000"/>
                <w:sz w:val="18"/>
                <w:szCs w:val="18"/>
              </w:rPr>
              <w:t>(Challenge 25 Policy).</w:t>
            </w:r>
          </w:p>
          <w:p w14:paraId="083209D7" w14:textId="77777777" w:rsidR="006D32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Display Challenge 25 sticker.</w:t>
            </w:r>
          </w:p>
          <w:p w14:paraId="02B0444B" w14:textId="77777777" w:rsidR="006D32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Ensure nobody is buying on behalf of anyone underage </w:t>
            </w:r>
            <w:r>
              <w:rPr>
                <w:b/>
                <w:color w:val="000000"/>
                <w:sz w:val="18"/>
                <w:szCs w:val="18"/>
              </w:rPr>
              <w:t>(Proxy sales)</w:t>
            </w:r>
          </w:p>
          <w:p w14:paraId="3F3893CA" w14:textId="77777777" w:rsidR="006D32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Don’t sell or allow samples to anyone under the age of 18.</w:t>
            </w:r>
          </w:p>
          <w:p w14:paraId="788A7C1B" w14:textId="77777777" w:rsidR="006D32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Ensure bags are taped up when given to customers so that they do not open the sealed bottles on the premises and explain the product is for consumption off site. </w:t>
            </w:r>
          </w:p>
          <w:p w14:paraId="73C812D7" w14:textId="77777777" w:rsidR="006D32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Display a sign that reads </w:t>
            </w:r>
            <w:r>
              <w:rPr>
                <w:b/>
                <w:color w:val="000000"/>
                <w:sz w:val="18"/>
                <w:szCs w:val="18"/>
              </w:rPr>
              <w:t>“for consumption off site”.</w:t>
            </w:r>
          </w:p>
          <w:p w14:paraId="5D87A5D5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7F1D397" w14:textId="77777777" w:rsidR="006D32DE" w:rsidRDefault="006D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4F2152" w14:textId="77777777" w:rsidR="006D32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14:paraId="21445A2E" w14:textId="77777777" w:rsidR="006D32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181"/>
        </w:tabs>
        <w:spacing w:before="27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Signature:   </w:t>
      </w:r>
      <w:r>
        <w:rPr>
          <w:rFonts w:ascii="Arial" w:eastAsia="Arial" w:hAnsi="Arial" w:cs="Arial"/>
          <w:noProof/>
          <w:color w:val="000000"/>
          <w:sz w:val="29"/>
          <w:szCs w:val="29"/>
        </w:rPr>
        <w:drawing>
          <wp:inline distT="114300" distB="114300" distL="114300" distR="114300" wp14:anchorId="0C0031DC" wp14:editId="7E857E63">
            <wp:extent cx="2860082" cy="3818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082" cy="38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446310" w14:textId="77777777" w:rsidR="006D32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181"/>
        </w:tabs>
        <w:spacing w:before="27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 </w:t>
      </w:r>
    </w:p>
    <w:p w14:paraId="49599043" w14:textId="785DC6AB" w:rsidR="006D32DE" w:rsidRPr="00F73DA3" w:rsidRDefault="00000000" w:rsidP="00F73DA3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181"/>
        </w:tabs>
        <w:spacing w:before="27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Print name:  </w:t>
      </w:r>
      <w:r>
        <w:rPr>
          <w:rFonts w:ascii="Arial" w:eastAsia="Arial" w:hAnsi="Arial" w:cs="Arial"/>
          <w:sz w:val="29"/>
          <w:szCs w:val="29"/>
        </w:rPr>
        <w:t>Matthew Webster</w:t>
      </w:r>
      <w:r>
        <w:rPr>
          <w:rFonts w:ascii="Arial" w:eastAsia="Arial" w:hAnsi="Arial" w:cs="Arial"/>
          <w:color w:val="000000"/>
          <w:sz w:val="29"/>
          <w:szCs w:val="29"/>
        </w:rPr>
        <w:tab/>
        <w:t xml:space="preserve">Date: </w:t>
      </w:r>
      <w:r w:rsidR="00E16514">
        <w:rPr>
          <w:rFonts w:ascii="Arial" w:eastAsia="Arial" w:hAnsi="Arial" w:cs="Arial"/>
          <w:sz w:val="29"/>
          <w:szCs w:val="29"/>
        </w:rPr>
        <w:t>14</w:t>
      </w:r>
      <w:r>
        <w:rPr>
          <w:rFonts w:ascii="Arial" w:eastAsia="Arial" w:hAnsi="Arial" w:cs="Arial"/>
          <w:color w:val="000000"/>
          <w:sz w:val="29"/>
          <w:szCs w:val="29"/>
        </w:rPr>
        <w:t>/</w:t>
      </w:r>
      <w:r w:rsidR="00E77424">
        <w:rPr>
          <w:rFonts w:ascii="Arial" w:eastAsia="Arial" w:hAnsi="Arial" w:cs="Arial"/>
          <w:sz w:val="29"/>
          <w:szCs w:val="29"/>
        </w:rPr>
        <w:t>0</w:t>
      </w:r>
      <w:r w:rsidR="00E16514">
        <w:rPr>
          <w:rFonts w:ascii="Arial" w:eastAsia="Arial" w:hAnsi="Arial" w:cs="Arial"/>
          <w:sz w:val="29"/>
          <w:szCs w:val="29"/>
        </w:rPr>
        <w:t>4</w:t>
      </w:r>
      <w:r>
        <w:rPr>
          <w:rFonts w:ascii="Arial" w:eastAsia="Arial" w:hAnsi="Arial" w:cs="Arial"/>
          <w:color w:val="000000"/>
          <w:sz w:val="29"/>
          <w:szCs w:val="29"/>
        </w:rPr>
        <w:t>/2</w:t>
      </w:r>
      <w:r w:rsidR="00684555">
        <w:rPr>
          <w:rFonts w:ascii="Arial" w:eastAsia="Arial" w:hAnsi="Arial" w:cs="Arial"/>
          <w:color w:val="000000"/>
          <w:sz w:val="29"/>
          <w:szCs w:val="29"/>
        </w:rPr>
        <w:t>02</w:t>
      </w:r>
      <w:r w:rsidR="00E77424">
        <w:rPr>
          <w:rFonts w:ascii="Arial" w:eastAsia="Arial" w:hAnsi="Arial" w:cs="Arial"/>
          <w:color w:val="000000"/>
          <w:sz w:val="29"/>
          <w:szCs w:val="29"/>
        </w:rPr>
        <w:t>5</w:t>
      </w:r>
    </w:p>
    <w:sectPr w:rsidR="006D32DE" w:rsidRPr="00F73DA3">
      <w:pgSz w:w="11910" w:h="16840"/>
      <w:pgMar w:top="700" w:right="140" w:bottom="280" w:left="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A639D"/>
    <w:multiLevelType w:val="multilevel"/>
    <w:tmpl w:val="84C84F08"/>
    <w:lvl w:ilvl="0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FA0781"/>
    <w:multiLevelType w:val="multilevel"/>
    <w:tmpl w:val="1E96BAEA"/>
    <w:lvl w:ilvl="0">
      <w:start w:val="1"/>
      <w:numFmt w:val="bullet"/>
      <w:lvlText w:val="-"/>
      <w:lvlJc w:val="left"/>
      <w:pPr>
        <w:ind w:left="68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3" w:hanging="360"/>
      </w:pPr>
      <w:rPr>
        <w:rFonts w:ascii="Noto Sans Symbols" w:eastAsia="Noto Sans Symbols" w:hAnsi="Noto Sans Symbols" w:cs="Noto Sans Symbols"/>
      </w:rPr>
    </w:lvl>
  </w:abstractNum>
  <w:num w:numId="1" w16cid:durableId="1424957622">
    <w:abstractNumId w:val="0"/>
  </w:num>
  <w:num w:numId="2" w16cid:durableId="128912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DE"/>
    <w:rsid w:val="00014F8E"/>
    <w:rsid w:val="000950FE"/>
    <w:rsid w:val="000F0B16"/>
    <w:rsid w:val="001A7799"/>
    <w:rsid w:val="002824A5"/>
    <w:rsid w:val="003628D0"/>
    <w:rsid w:val="004C4FFC"/>
    <w:rsid w:val="00554A8D"/>
    <w:rsid w:val="00684555"/>
    <w:rsid w:val="006D32DE"/>
    <w:rsid w:val="00715721"/>
    <w:rsid w:val="00813DD1"/>
    <w:rsid w:val="008A6E58"/>
    <w:rsid w:val="0091356C"/>
    <w:rsid w:val="009D5B8D"/>
    <w:rsid w:val="009E0C8B"/>
    <w:rsid w:val="009F0F05"/>
    <w:rsid w:val="00A20E1F"/>
    <w:rsid w:val="00AC095D"/>
    <w:rsid w:val="00AD6039"/>
    <w:rsid w:val="00BA3A0F"/>
    <w:rsid w:val="00C105D6"/>
    <w:rsid w:val="00C318EE"/>
    <w:rsid w:val="00C51065"/>
    <w:rsid w:val="00C90021"/>
    <w:rsid w:val="00D35189"/>
    <w:rsid w:val="00D92B3E"/>
    <w:rsid w:val="00DB7AFA"/>
    <w:rsid w:val="00DC0D66"/>
    <w:rsid w:val="00DC638F"/>
    <w:rsid w:val="00E16514"/>
    <w:rsid w:val="00E77424"/>
    <w:rsid w:val="00F03652"/>
    <w:rsid w:val="00F73DA3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E7A5C"/>
  <w15:docId w15:val="{9C7204CE-E3F7-8542-BD1A-A4DF2339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5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8A"/>
    <w:rPr>
      <w:rFonts w:ascii="Lucida Grande" w:eastAsia="Calibri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D35189"/>
  </w:style>
  <w:style w:type="character" w:styleId="Emphasis">
    <w:name w:val="Emphasis"/>
    <w:basedOn w:val="DefaultParagraphFont"/>
    <w:uiPriority w:val="20"/>
    <w:qFormat/>
    <w:rsid w:val="00C51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CzFiOurQSLHJF5EWqARDkjD8g==">CgMxLjA4AHIhMURETlp2bm1POFgxOTh2cDREZ240cnRVNVRHdjY4X0xu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kkbo.events</dc:creator>
  <cp:lastModifiedBy>O'Donnell Moonshine</cp:lastModifiedBy>
  <cp:revision>2</cp:revision>
  <dcterms:created xsi:type="dcterms:W3CDTF">2025-04-14T10:29:00Z</dcterms:created>
  <dcterms:modified xsi:type="dcterms:W3CDTF">2025-04-14T10:29:00Z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2017-04-11T00:00:00Z</vt:filetime>
  </property>
</Properties>
</file>